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9" w:history="1">
        <w:r>
          <w:rPr>
            <w:rFonts w:ascii="Arial" w:hAnsi="Arial" w:eastAsia="Arial" w:cs="Arial"/>
            <w:color w:val="155CAA"/>
            <w:u w:val="single"/>
          </w:rPr>
          <w:t xml:space="preserve">1 Brf Inwoner, Naleving hondenbeleid in nieuwbouwplan Oosterdalfsen Noord, zaaknr 670860, 20220927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9"/>
      <w:r w:rsidRPr="00A448AC">
        <w:rPr>
          <w:rFonts w:ascii="Arial" w:hAnsi="Arial" w:cs="Arial"/>
          <w:b/>
          <w:bCs/>
          <w:color w:val="303F4C"/>
          <w:lang w:val="en-US"/>
        </w:rPr>
        <w:t>Brf Inwoner, Naleving hondenbeleid in nieuwbouwplan Oosterdalfsen Noord, zaaknr 670860,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Naleving hondenbeleid in nieuwbouwplan Oosterdalfsen Noord, zaaknr 670860,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Naleving-hondenbeleid-in-nieuwbouwplan-Oosterdalfsen-Noord-zaaknr-670860-202209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