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11:45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64" w:history="1">
        <w:r>
          <w:rPr>
            <w:rFonts w:ascii="Arial" w:hAnsi="Arial" w:eastAsia="Arial" w:cs="Arial"/>
            <w:color w:val="155CAA"/>
            <w:u w:val="single"/>
          </w:rPr>
          <w:t xml:space="preserve">1 Brf INretail, corona actualisatie detailhandelsbeleid, zaaknr 630623, 20210223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64"/>
      <w:r w:rsidRPr="00A448AC">
        <w:rPr>
          <w:rFonts w:ascii="Arial" w:hAnsi="Arial" w:cs="Arial"/>
          <w:b/>
          <w:bCs/>
          <w:color w:val="303F4C"/>
          <w:lang w:val="en-US"/>
        </w:rPr>
        <w:t>Brf INretail, corona actualisatie detailhandelsbeleid, zaaknr 630623, 20210223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INretail, corona actualisatie detailhandelsbeleid, zaaknr 630623, 20210223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129,85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Samenvatting Dynamiek door beleid - Hoe de overheid de winkelstructuur vitaal houdt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3,05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retail-corona-actualisatie-detailhandelsbeleid-zaaknr-630623-20210223.pdf" TargetMode="External" /><Relationship Id="rId25" Type="http://schemas.openxmlformats.org/officeDocument/2006/relationships/hyperlink" Target="https://ris.dalfsen.nl//Raadsinformatie/Bijlage/Samenvatting-Dynamiek-door-beleid-Hoe-de-overheid-de-winkelstructuur-vitaal-houd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