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12:01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64" text:style-name="Internet_20_link" text:visited-style-name="Visited_20_Internet_20_Link">
              <text:span text:style-name="ListLabel_20_28">
                <text:span text:style-name="T8">1 Brf INretail, corona actualisatie detailhandelsbeleid, zaaknr 630623, 20210223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64"/>
        Brf INretail, corona actualisatie detailhandelsbeleid, zaaknr 630623, 20210223
        <text:bookmark-end text:name="4236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30-03-2021 12:14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INretail, corona actualisatie detailhandelsbeleid, zaaknr 630623, 20210223
              <text:span text:style-name="T3"/>
            </text:p>
            <text:p text:style-name="P7"/>
          </table:table-cell>
          <table:table-cell table:style-name="Table4.A2" office:value-type="string">
            <text:p text:style-name="P8">23-02-2021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129,85 KB</text:p>
          </table:table-cell>
          <table:table-cell table:style-name="Table4.A2" office:value-type="string">
            <text:p text:style-name="P33">
              <text:a xlink:type="simple" xlink:href="https://ris.dalfsen.nl//Raadsinformatie/Bijlage/Brf-INretail-corona-actualisatie-detailhandelsbeleid-zaaknr-630623-202102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Samenvatting Dynamiek door beleid - Hoe de overheid de winkelstructuur vitaal houdt
              <text:span text:style-name="T3"/>
            </text:p>
            <text:p text:style-name="P7"/>
          </table:table-cell>
          <table:table-cell table:style-name="Table4.A2" office:value-type="string">
            <text:p text:style-name="P8">23-02-2021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3,05 MB</text:p>
          </table:table-cell>
          <table:table-cell table:style-name="Table4.A2" office:value-type="string">
            <text:p text:style-name="P33">
              <text:a xlink:type="simple" xlink:href="https://ris.dalfsen.nl//Raadsinformatie/Bijlage/Samenvatting-Dynamiek-door-beleid-Hoe-de-overheid-de-winkelstructuur-vitaal-houdt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8" meta:character-count="632" meta:non-whitespace-character-count="57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1329467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1329467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