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8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conceptbegroting 2021 en meerjarenraming 2022-2024, zaaknr 616963, 20200414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8"/>
      <w:r w:rsidRPr="00A448AC">
        <w:rPr>
          <w:rFonts w:ascii="Arial" w:hAnsi="Arial" w:cs="Arial"/>
          <w:b/>
          <w:bCs/>
          <w:color w:val="303F4C"/>
          <w:lang w:val="en-US"/>
        </w:rPr>
        <w:t>Brf GGD IJsselland, conceptbegroting 2021 en meerjarenraming 2022-2024, zaaknr 616963,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conceptbegroting 2021 en meerjarenraming 2022-2024, zaaknr 616963,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GGD-IJsselland-conceptbegroting-2021-en-meerjarenraming-2022-2024-zaaknr-616963-202004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