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02:29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072" text:style-name="Internet_20_link" text:visited-style-name="Visited_20_Internet_20_Link">
              <text:span text:style-name="ListLabel_20_28">
                <text:span text:style-name="T8">1 Brf GGD IJsselland, Jaarstukken 2019 definitief, zaaknr 619061, 20200528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072"/>
        Brf GGD IJsselland, Jaarstukken 2019 definitief, zaaknr 619061, 20200528
        <text:bookmark-end text:name="4207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29-06-2020 12:17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GGD IJsselland, Jaarstukken 2019 definitief, zaaknr 619061, 20200528
              <text:span text:style-name="T3"/>
            </text:p>
            <text:p text:style-name="P7"/>
          </table:table-cell>
          <table:table-cell table:style-name="Table4.A2" office:value-type="string">
            <text:p text:style-name="P8">28-05-2020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2,74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GGD-IJsselland-Jaarstukken-2019-definitief-zaaknr-619061-2020052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3" meta:character-count="500" meta:non-whitespace-character-count="45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1047708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1047708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