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46" w:history="1">
        <w:r>
          <w:rPr>
            <w:rFonts w:ascii="Arial" w:hAnsi="Arial" w:eastAsia="Arial" w:cs="Arial"/>
            <w:color w:val="155CAA"/>
            <w:u w:val="single"/>
          </w:rPr>
          <w:t xml:space="preserve">1 Brf BVVW, Permanente bewoning recreatie, zaaknr 616968, 20200414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46"/>
      <w:r w:rsidRPr="00A448AC">
        <w:rPr>
          <w:rFonts w:ascii="Arial" w:hAnsi="Arial" w:cs="Arial"/>
          <w:b/>
          <w:bCs/>
          <w:color w:val="303F4C"/>
          <w:lang w:val="en-US"/>
        </w:rPr>
        <w:t>Brf BVVW, Permanente bewoning recreatie, zaaknr 616968, 20200414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BVVW, Permanente bewoning recreatie, zaaknr 616968, 20200414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779,16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BVVW-Permanente-bewoning-recreatie-zaaknr-616968-2020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