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782" text:style-name="Internet_20_link" text:visited-style-name="Visited_20_Internet_20_Link">
              <text:span text:style-name="ListLabel_20_28">
                <text:span text:style-name="T8">1 Brf Provincie Overijssel, Informatie voor uw begroting 2026 en meerjarenraming 2027-2029</text:span>
              </text:span>
            </text:a>
          </text:p>
        </text:list-item>
        <text:list-item>
          <text:p text:style-name="P2" loext:marker-style-name="T5">
            <text:a xlink:type="simple" xlink:href="#43776" text:style-name="Internet_20_link" text:visited-style-name="Visited_20_Internet_20_Link">
              <text:span text:style-name="ListLabel_20_28">
                <text:span text:style-name="T8">2 Brf St. Poort van Noord, Financiële middelen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2"/>
        Brf Provincie Overijssel, Informatie voor uw begroting 2026 en meerjarenraming 2027-2029
        <text:bookmark-end text:name="4378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17:18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Informatie voor uw begroting 2026 en meerjarenraming 2027-2029,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s://ris.dalfsen.nl//Raadsinformatie/Brf-Provincie-Overijssel-Informatie-voor-uw-begroting-2026-en-meerjarenraming-2027-2029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6"/>
        Brf St. Poort van Noord, Financiële middelen
        <text:bookmark-end text:name="43776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24-04-2025 12:39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St. Poort van Noord, Financiële middelen, 202050424
              <text:span text:style-name="T3"/>
            </text:p>
            <text:p text:style-name="P7"/>
          </table:table-cell>
          <table:table-cell table:style-name="Table6.A2" office:value-type="string">
            <text:p text:style-name="P8">24-04-2025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203,80 KB</text:p>
          </table:table-cell>
          <table:table-cell table:style-name="Table6.A2" office:value-type="string">
            <text:p text:style-name="P33">
              <text:a xlink:type="simple" xlink:href="https://ris.dalfsen.nl//Raadsinformatie/Brf-St-Poort-van-Noord-Financiele-middelen-2020504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35" meta:character-count="897" meta:non-whitespace-character-count="8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