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1" w:history="1">
        <w:r>
          <w:rPr>
            <w:rFonts w:ascii="Arial" w:hAnsi="Arial" w:eastAsia="Arial" w:cs="Arial"/>
            <w:color w:val="155CAA"/>
            <w:u w:val="single"/>
          </w:rPr>
          <w:t xml:space="preserve">1 Lbr VNG, CPB-onderzoek houdbaarheid Wmo en Jeugdwet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7" w:history="1">
        <w:r>
          <w:rPr>
            <w:rFonts w:ascii="Arial" w:hAnsi="Arial" w:eastAsia="Arial" w:cs="Arial"/>
            <w:color w:val="155CAA"/>
            <w:u w:val="single"/>
          </w:rPr>
          <w:t xml:space="preserve">2 Lbr VNG, Informatiepunten digitale overheid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1"/>
      <w:r w:rsidRPr="00A448AC">
        <w:rPr>
          <w:rFonts w:ascii="Arial" w:hAnsi="Arial" w:cs="Arial"/>
          <w:b/>
          <w:bCs/>
          <w:color w:val="303F4C"/>
          <w:lang w:val="en-US"/>
        </w:rPr>
        <w:t>Lbr VNG, CPB-onderzoek houdbaarheid Wmo en Jeugdwet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23-002, CPB-onderzoek houdbaarheid Wmo en Jeugdwet, zaaknr 680459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7"/>
      <w:r w:rsidRPr="00A448AC">
        <w:rPr>
          <w:rFonts w:ascii="Arial" w:hAnsi="Arial" w:cs="Arial"/>
          <w:b/>
          <w:bCs/>
          <w:color w:val="303F4C"/>
          <w:lang w:val="en-US"/>
        </w:rPr>
        <w:t>Lbr VNG, Informatiepunten digitale overheid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23-001, Informatiepunten digitale overheid, zaaknr 680451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02-CPB-onderzoek-houdbaarheid-Wmo-en-Jeugdwet-zaaknr-680459.pdf" TargetMode="External" /><Relationship Id="rId25" Type="http://schemas.openxmlformats.org/officeDocument/2006/relationships/hyperlink" Target="https://ris.dalfsen.nl//Raadsinformatie/Bijlage/Lbr-VNG-23-001-Informatiepunten-digitale-overheid-zaaknr-68045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