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4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22-009, Model Verordening leges i.v.m. Omgevingswet, zaaknr 653884,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3" w:history="1">
        <w:r>
          <w:rPr>
            <w:rFonts w:ascii="Arial" w:hAnsi="Arial" w:eastAsia="Arial" w:cs="Arial"/>
            <w:color w:val="155CAA"/>
            <w:u w:val="single"/>
          </w:rPr>
          <w:t xml:space="preserve">2 Lbr VNG, 22-016, Gevolgen oorlog Oekraïne, zaaknr 655749, 20220322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1" w:history="1">
        <w:r>
          <w:rPr>
            <w:rFonts w:ascii="Arial" w:hAnsi="Arial" w:eastAsia="Arial" w:cs="Arial"/>
            <w:color w:val="155CAA"/>
            <w:u w:val="single"/>
          </w:rPr>
          <w:t xml:space="preserve">3 Lbr VNG 22-018, Ventilatie in schoolgebouwen en brede opgave onderwijshuisvesting, zaaknr 656126,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3" w:history="1">
        <w:r>
          <w:rPr>
            <w:rFonts w:ascii="Arial" w:hAnsi="Arial" w:eastAsia="Arial" w:cs="Arial"/>
            <w:color w:val="155CAA"/>
            <w:u w:val="single"/>
          </w:rPr>
          <w:t xml:space="preserve">4 Lbr VNG 22-019, Gevolgen van de oorlog in Oekraïne, zaaknr 656383,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4"/>
      <w:r w:rsidRPr="00A448AC">
        <w:rPr>
          <w:rFonts w:ascii="Arial" w:hAnsi="Arial" w:cs="Arial"/>
          <w:b/>
          <w:bCs/>
          <w:color w:val="303F4C"/>
          <w:lang w:val="en-US"/>
        </w:rPr>
        <w:t>Lbr VNG, 22-009, Model Verordening leges i.v.m. Omgevingswet, zaaknr 653884,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22-009, Model Verordening leges i.v.m. Omgevingswet, zaaknr 653884,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3"/>
      <w:r w:rsidRPr="00A448AC">
        <w:rPr>
          <w:rFonts w:ascii="Arial" w:hAnsi="Arial" w:cs="Arial"/>
          <w:b/>
          <w:bCs/>
          <w:color w:val="303F4C"/>
          <w:lang w:val="en-US"/>
        </w:rPr>
        <w:t>Lbr VNG, 22-016, Gevolgen oorlog Oekraïne, zaaknr 655749, 20220322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22-016, Gevolgen oorlog Oekraine, zaaknr 655749, 20220322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1"/>
      <w:r w:rsidRPr="00A448AC">
        <w:rPr>
          <w:rFonts w:ascii="Arial" w:hAnsi="Arial" w:cs="Arial"/>
          <w:b/>
          <w:bCs/>
          <w:color w:val="303F4C"/>
          <w:lang w:val="en-US"/>
        </w:rPr>
        <w:t>Lbr VNG 22-018, Ventilatie in schoolgebouwen en brede opgave onderwijshuisvesting, zaaknr 656126,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22-018, Ventilatie in schoolgebouwen en brede opgave onderwijshuisvesting, zaaknr 656126,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3"/>
      <w:r w:rsidRPr="00A448AC">
        <w:rPr>
          <w:rFonts w:ascii="Arial" w:hAnsi="Arial" w:cs="Arial"/>
          <w:b/>
          <w:bCs/>
          <w:color w:val="303F4C"/>
          <w:lang w:val="en-US"/>
        </w:rPr>
        <w:t>Lbr VNG 22-019, Gevolgen van de oorlog in Oekraïne, zaaknr 656383,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22-019, Gevolgen van de oorlog in Oekraine, zaaknr 656383,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9-Model-Verordening-leges-i-v-m-Omgevingswet-zaaknr-653884-20220302.pdf" TargetMode="External" /><Relationship Id="rId25" Type="http://schemas.openxmlformats.org/officeDocument/2006/relationships/hyperlink" Target="https://ris.dalfsen.nl//Raadsinformatie/Bijlage/Lbr-VNG-22-016-Gevolgen-oorlog-Oekraine-zaaknr-655749-20220322.pdf" TargetMode="External" /><Relationship Id="rId26" Type="http://schemas.openxmlformats.org/officeDocument/2006/relationships/hyperlink" Target="https://ris.dalfsen.nl//Raadsinformatie/Bijlage/Lbr-VNG-22-018-Ventilatie-in-schoolgebouwen-en-brede-opgave-onderwijshuisvesting-zaaknr-656126-20220329.pdf" TargetMode="External" /><Relationship Id="rId27" Type="http://schemas.openxmlformats.org/officeDocument/2006/relationships/hyperlink" Target="https://ris.dalfsen.nl//Raadsinformatie/Bijlage/Lbr-VNG-22-019-Gevolgen-van-de-oorlog-in-Oekraine-zaaknr-656383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