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28-06-2025 04:21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2012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(2 onderwerpen)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0884" w:history="1">
        <w:r>
          <w:rPr>
            <w:rFonts w:ascii="Arial" w:hAnsi="Arial" w:eastAsia="Arial" w:cs="Arial"/>
            <w:color w:val="155CAA"/>
            <w:u w:val="single"/>
          </w:rPr>
          <w:t xml:space="preserve">1 20120719 Ingekomen stuk, Veiligheidsregio IJsselland - begrotingswijzigingen nr 2012 1 en 2, nr 4124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0875" w:history="1">
        <w:r>
          <w:rPr>
            <w:rFonts w:ascii="Arial" w:hAnsi="Arial" w:eastAsia="Arial" w:cs="Arial"/>
            <w:color w:val="155CAA"/>
            <w:u w:val="single"/>
          </w:rPr>
          <w:t xml:space="preserve">2 20120628 Ingekomen stuk, Wecycle - benchmark afgifte elektrische apparaten, nr 3563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0884"/>
      <w:r w:rsidRPr="00A448AC">
        <w:rPr>
          <w:rFonts w:ascii="Arial" w:hAnsi="Arial" w:cs="Arial"/>
          <w:b/>
          <w:bCs/>
          <w:color w:val="303F4C"/>
          <w:lang w:val="en-US"/>
        </w:rPr>
        <w:t>20120719 Ingekomen stuk, Veiligheidsregio IJsselland - begrotingswijzigingen nr 2012 1 en 2, nr 4124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01-10-2012 14:34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Ter afdoening in handen van het college stellen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20120719 Ingekomen stuk, Veiligheidsregio IJsselland - begrotingswijzigingen nr 2012 1 en 2.pdf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19-07-2012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227,67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0875"/>
      <w:r w:rsidRPr="00A448AC">
        <w:rPr>
          <w:rFonts w:ascii="Arial" w:hAnsi="Arial" w:cs="Arial"/>
          <w:b/>
          <w:bCs/>
          <w:color w:val="303F4C"/>
          <w:lang w:val="en-US"/>
        </w:rPr>
        <w:t>20120628 Ingekomen stuk, Wecycle - benchmark afgifte elektrische apparaten, nr 3563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01-10-2012 14:31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Ter afdoening in handen van het college stellen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20120628 Ingekomen stuk, Wecycle - benchmark afgifte elektrische apparaten, nr 3563.pdf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02-07-2012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96,45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Ingekomen-stuk/ter-afdoening-in-handen-van-het-college-stellen/20120719-Ingekomen-stuk--Veiligheidsregio-IJsselland---begrotingswijzigingen-nr-2012-1-en-2.pdf" TargetMode="External" /><Relationship Id="rId25" Type="http://schemas.openxmlformats.org/officeDocument/2006/relationships/hyperlink" Target="https://ris.dalfsen.nl//Raadsinformatie/Ingekomen-stuk/ter-afdoening-in-handen-van-het-college-stellen/20120628-Ingekomen-stuk--Wecycle---benchmark-afgifte-elektrische-apparaten--nr-3563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