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02:08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94" w:history="1">
        <w:r>
          <w:rPr>
            <w:rFonts w:ascii="Arial" w:hAnsi="Arial" w:eastAsia="Arial" w:cs="Arial"/>
            <w:color w:val="155CAA"/>
            <w:u w:val="single"/>
          </w:rPr>
          <w:t xml:space="preserve">1 Lbr VNG, Model verordening gemeentelijke rekenkamer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94"/>
      <w:r w:rsidRPr="00A448AC">
        <w:rPr>
          <w:rFonts w:ascii="Arial" w:hAnsi="Arial" w:cs="Arial"/>
          <w:b/>
          <w:bCs/>
          <w:color w:val="303F4C"/>
          <w:lang w:val="en-US"/>
        </w:rPr>
        <w:t>Lbr VNG, Model verordening gemeentelijke rekenkamer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20-03-2023 14:01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Model verordening gemeentelijke rekenkamer, 20230320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580,74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Model-verordening-gemeentelijke-rekenkamer-202303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