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9" w:history="1">
        <w:r>
          <w:rPr>
            <w:rFonts w:ascii="Arial" w:hAnsi="Arial" w:eastAsia="Arial" w:cs="Arial"/>
            <w:color w:val="155CAA"/>
            <w:u w:val="single"/>
          </w:rPr>
          <w:t xml:space="preserve">1 Lbr VNG, 24-004, Wijziging model verordening rechtspositie raads-en-commissieleden en model regeling rechtspositie burgemeester en wethouder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9"/>
      <w:r w:rsidRPr="00A448AC">
        <w:rPr>
          <w:rFonts w:ascii="Arial" w:hAnsi="Arial" w:cs="Arial"/>
          <w:b/>
          <w:bCs/>
          <w:color w:val="303F4C"/>
          <w:lang w:val="en-US"/>
        </w:rPr>
        <w:t>Lbr VNG, 24-004, Wijziging model verordening rechtspositie raads-en-commissieleden en model regeling rechtspositie burgemeester en wethouder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24-004, Wijziging model verordening rechtspositie raads-en-commissieleden en model regeling rechtspositie burgemeester en wethouder,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04-Wijziging-model-verordening-rechtspositie-raads-en-commissieleden-en-model-regeling-rechtspositie-burgemeester-en-wethouder-20240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