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00:22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62" w:history="1">
        <w:r>
          <w:rPr>
            <w:rFonts w:ascii="Arial" w:hAnsi="Arial" w:eastAsia="Arial" w:cs="Arial"/>
            <w:color w:val="155CAA"/>
            <w:u w:val="single"/>
          </w:rPr>
          <w:t xml:space="preserve">1 Lbr VNG 22-017, Wijzigingen VNG-model Reglement van Orde gemeenteraad en VNG model Verordening op de raadscommissies, zaaknr 656049 , 20220329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62"/>
      <w:r w:rsidRPr="00A448AC">
        <w:rPr>
          <w:rFonts w:ascii="Arial" w:hAnsi="Arial" w:cs="Arial"/>
          <w:b/>
          <w:bCs/>
          <w:color w:val="303F4C"/>
          <w:lang w:val="en-US"/>
        </w:rPr>
        <w:t>Lbr VNG 22-017, Wijzigingen VNG-model Reglement van Orde gemeenteraad en VNG model Verordening op de raadscommissies, zaaknr 656049 , 20220329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28-04-2022 11:27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22-017, Wijzigingen VNG-model Reglement van Orde gemeenteraad en VNG model Verordening op de raadscommissies, zaaknr 656049 , 20220329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2-017-Wijzigingen-VNG-model-Reglement-van-Orde-gemeenteraad-en-VNG-model-Verordening-op-de-raadscommissies-zaaknr-656049-202203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