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2" w:history="1">
        <w:r>
          <w:rPr>
            <w:rFonts w:ascii="Arial" w:hAnsi="Arial" w:eastAsia="Arial" w:cs="Arial"/>
            <w:color w:val="155CAA"/>
            <w:u w:val="single"/>
          </w:rPr>
          <w:t xml:space="preserve">1 Brf Ministerie BZK, Vooraankondiging monitor Integriteit &amp;amp; Veiligheid 2022,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2"/>
      <w:r w:rsidRPr="00A448AC">
        <w:rPr>
          <w:rFonts w:ascii="Arial" w:hAnsi="Arial" w:cs="Arial"/>
          <w:b/>
          <w:bCs/>
          <w:color w:val="303F4C"/>
          <w:lang w:val="en-US"/>
        </w:rPr>
        <w:t>Brf Ministerie BZK, Vooraankondiging monitor Integriteit &amp;amp; Veiligheid 2022,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Vooraankondiging monitor Integriteit &amp;amp; Veiligheid 2022,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inisterie-BZK-Vooraankondiging-monitor-Integriteit-Veiligheid-2022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