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23" w:history="1">
        <w:r>
          <w:rPr>
            <w:rFonts w:ascii="Arial" w:hAnsi="Arial" w:eastAsia="Arial" w:cs="Arial"/>
            <w:color w:val="155CAA"/>
            <w:u w:val="single"/>
          </w:rPr>
          <w:t xml:space="preserve">1 Brf, Commissaris van de Koning, Ontslag burgemeester, 31 mei 2018, zaaknr. 584796, 20180607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23"/>
      <w:r w:rsidRPr="00A448AC">
        <w:rPr>
          <w:rFonts w:ascii="Arial" w:hAnsi="Arial" w:cs="Arial"/>
          <w:b/>
          <w:bCs/>
          <w:color w:val="303F4C"/>
          <w:lang w:val="en-US"/>
        </w:rPr>
        <w:t>Brf, Commissaris van de Koning, Ontslag burgemeester, 31 mei 2018, zaaknr. 584796, 20180607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30-07-2018 08:41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Commissaris van de Koning, Ontslag burgemeester, 31 mei 2018, zaaknr. 584796, 20180607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Brf-Commissaris-van-de-Koning-Ontslag-burgemeester-31-mei-2018-zaaknr-584796-201806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