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3" text:style-name="Internet_20_link" text:visited-style-name="Visited_20_Internet_20_Link">
              <text:span text:style-name="ListLabel_20_28">
                <text:span text:style-name="T8">1 Raad 21 mrt 2016 - Ingekomen stuk, Commissaris vd Koning, Herbenoemingsprocedure burgemeester, nr 1273-1830, 20160309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3"/>
        Raad 21 mrt 2016 - Ingekomen stuk, Commissaris vd Koning, Herbenoemingsprocedure burgemeester, nr 1273-1830, 20160309
        <text:bookmark-end text:name="41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24-03-2016 17:00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Commissaris vd Koning, Herbenoemingsprocedure burgemeester, nr 1273-1830, 20160309.pdf
              <text:span text:style-name="T3"/>
            </text:p>
            <text:p text:style-name="P7"/>
          </table:table-cell>
          <table:table-cell table:style-name="Table4.A2" office:value-type="string">
            <text:p text:style-name="P8">09-03-2016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167,97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1-mrt-2016-Ingekomen-stuk-Commissaris-vd-Koning-Herbenoemingsprocedure-burgemeester-nr-1273-1830-2016030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41" meta:non-whitespace-character-count="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1748838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1748838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