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12" w:history="1">
        <w:r>
          <w:rPr>
            <w:rFonts w:ascii="Arial" w:hAnsi="Arial" w:eastAsia="Arial" w:cs="Arial"/>
            <w:color w:val="155CAA"/>
            <w:u w:val="single"/>
          </w:rPr>
          <w:t xml:space="preserve">1 Raad 30 jan 2017 - Ingekomen stuk, Raadslid.Nu, Herfstbrief 2016, nr 491079-119793, 20161215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12"/>
      <w:r w:rsidRPr="00A448AC">
        <w:rPr>
          <w:rFonts w:ascii="Arial" w:hAnsi="Arial" w:cs="Arial"/>
          <w:b/>
          <w:bCs/>
          <w:color w:val="303F4C"/>
          <w:lang w:val="en-US"/>
        </w:rPr>
        <w:t>Raad 30 jan 2017 - Ingekomen stuk, Raadslid.Nu, Herfstbrief 2016, nr 491079-119793, 20161215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02-02-2017 15:32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30 jan 2017 - Ingekomen stuk, Raadslid.Nu, Herfstbrief 2016, nr 491079-119793, 20161215.pdf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15-12-2016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435,52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de-griffier-stellen/Raad-30-jan-2017-Ingekomen-stuk-Raadslid-Nu-Herfstbrief-2016-nr-491079-119793-2016121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