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65" w:history="1">
        <w:r>
          <w:rPr>
            <w:rFonts w:ascii="Arial" w:hAnsi="Arial" w:eastAsia="Arial" w:cs="Arial"/>
            <w:color w:val="155CAA"/>
            <w:u w:val="single"/>
          </w:rPr>
          <w:t xml:space="preserve">1 Raad 29 mei 2017 - Ingekomen stuk, Benthem en Gratama advocaten, zienswijze Chw bp Kernen, nr 494435-130363, 20170501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65"/>
      <w:r w:rsidRPr="00A448AC">
        <w:rPr>
          <w:rFonts w:ascii="Arial" w:hAnsi="Arial" w:cs="Arial"/>
          <w:b/>
          <w:bCs/>
          <w:color w:val="303F4C"/>
          <w:lang w:val="en-US"/>
        </w:rPr>
        <w:t>Raad 29 mei 2017 - Ingekomen stuk, Benthem en Gratama advocaten, zienswijze Chw bp Kernen, nr 494435-130363, 20170501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30-05-2017 12:10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29 mei 2017 - Ingekomen stuk, Benthem en Gratama advocaten, zienswijze Chw bp Kernen, nr 494435-130363, 20170501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29-mei-2017-Ingekomen-stuk-Benthem-en-Gratama-advocaten-zienswijze-Chw-bp-Kernen-nr-494435-130363-201705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