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20:31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391" text:style-name="Internet_20_link" text:visited-style-name="Visited_20_Internet_20_Link">
              <text:span text:style-name="ListLabel_20_28">
                <text:span text:style-name="T8">1 Raad 26 okt 2015 - Ingekomen stuk, Veiligheidsregio IJsselland, Najaarsrapportage, nr 29363-33009, 20151012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391"/>
        Raad 26 okt 2015 - Ingekomen stuk, Veiligheidsregio IJsselland, Najaarsrapportage, nr 29363-33009, 20151012
        <text:bookmark-end text:name="4139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27-10-2015 11:36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26 okt 2015 - Ingekomen stuk, Veiligheidsregio IJsselland, Najaarsrapportage, nr 29363-33009, 20151012.pdf
              <text:span text:style-name="T3"/>
            </text:p>
            <text:p text:style-name="P7"/>
          </table:table-cell>
          <table:table-cell table:style-name="Table4.A2" office:value-type="string">
            <text:p text:style-name="P8">15-10-2015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731,31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dvisering-in-handen-van-het-college-stellen/Raad-26-okt-2015-Ingekomen-stuk-Veiligheidsregio-IJsselland-Najaarsrapportage-nr-29363-33009-2015101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85" meta:character-count="612" meta:non-whitespace-character-count="55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1022769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1022769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