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30" text:style-name="Internet_20_link" text:visited-style-name="Visited_20_Internet_20_Link">
              <text:span text:style-name="ListLabel_20_28">
                <text:span text:style-name="T8">1 Raad 26 mei 2015 - Ingekomen stuk, H.H. en R.H., Handtekeningenactie-zienswijze BP Buitengebied Westerveldweg, nr 25691-26602, 20150518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30"/>
        Raad 26 mei 2015 - Ingekomen stuk, H.H. en R.H., Handtekeningenactie-zienswijze BP Buitengebied Westerveldweg, nr 25691-26602, 20150518
        <text:bookmark-end text:name="413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28-05-2015 15:17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mei 2015 - Ingekomen stuk, H.H. en R.H., Handtekeningenactie-zienswijze BP Buitengebied Westerveldweg, nr 25691-26602, 20150518.pdf
              <text:span text:style-name="T3"/>
            </text:p>
            <text:p text:style-name="P7"/>
          </table:table-cell>
          <table:table-cell table:style-name="Table4.A2" office:value-type="string">
            <text:p text:style-name="P8">18-05-2015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241,24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6-mei-2015-Ingekomen-stuk-H-H-en-R-H-Handtekeningenactie-zienswijze-BP-Buitengebied-Westerveldweg-nr-25691-26602-201505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96" meta:non-whitespace-character-count="6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589609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589609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