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201" text:style-name="Internet_20_link" text:visited-style-name="Visited_20_Internet_20_Link">
              <text:span text:style-name="ListLabel_20_28">
                <text:span text:style-name="T8">1 Raad 26 mei 2014 - Ingekomen stuk, Fam. Vlaskamp, zienswijze plan Schaddenhof Lemelerveld, nr 15968-19355, 20140414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01"/>
        Raad 26 mei 2014 - Ingekomen stuk, Fam. Vlaskamp, zienswijze plan Schaddenhof Lemelerveld, nr 15968-19355, 20140414
        <text:bookmark-end text:name="4120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16-06-2014 14:43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26 mei 2014 - Ingekomen stuk, Fam. Vlaskamp, zienswijze plan Schaddenhof Lemelerveld, nr 15968-19355, 20140414.pdf
              <text:span text:style-name="T3"/>
            </text:p>
            <text:p text:style-name="P7"/>
          </table:table-cell>
          <table:table-cell table:style-name="Table4.A2" office:value-type="string">
            <text:p text:style-name="P8">28-04-2014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171,49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26-mei-2014-Ingekomen-stuk-Fam-Vlaskamp-zienswijze-plan-Schaddenhof-Lemelerveld-nr-15968-19355-201404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4" meta:character-count="636" meta:non-whitespace-character-count="56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693753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693753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