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99" w:history="1">
        <w:r>
          <w:rPr>
            <w:rFonts w:ascii="Arial" w:hAnsi="Arial" w:eastAsia="Arial" w:cs="Arial"/>
            <w:color w:val="155CAA"/>
            <w:u w:val="single"/>
          </w:rPr>
          <w:t xml:space="preserve">1 Raad 25 sep 2017 - Ingekomen stuk, Werkgr Typisch Dalfsen, Zienswijze ontwerp structuurvisie Centrumvisie Dorp aan de Vecht, nr 568139-211592, 20170824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99"/>
      <w:r w:rsidRPr="00A448AC">
        <w:rPr>
          <w:rFonts w:ascii="Arial" w:hAnsi="Arial" w:cs="Arial"/>
          <w:b/>
          <w:bCs/>
          <w:color w:val="303F4C"/>
          <w:lang w:val="en-US"/>
        </w:rPr>
        <w:t>Raad 25 sep 2017 - Ingekomen stuk, Werkgr Typisch Dalfsen, Zienswijze ontwerp structuurvisie Centrumvisie Dorp aan de Vecht, nr 568139-211592, 20170824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26-09-2017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sep 2017 - Ingekomen stuk, Werkgr Typisch Dalfsen, Zienswijze ontwerp structuurvisie Centrumvisie Dorp aan de Vecht, nr 568139-211592, 20170824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5-sep-2017-Ingekomen-stuk-Werkgr-Typisch-Dalfsen-Zienswijze-ontwerp-structuurvisie-Centrumvisie-Dorp-aan-de-Vecht-nr-568139-211592-201708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