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56" w:history="1">
        <w:r>
          <w:rPr>
            <w:rFonts w:ascii="Arial" w:hAnsi="Arial" w:eastAsia="Arial" w:cs="Arial"/>
            <w:color w:val="155CAA"/>
            <w:u w:val="single"/>
          </w:rPr>
          <w:t xml:space="preserve">1 Raad 24 nov 2014 - Ingekomen stuk, Veiligheidsregio IJsselland, najaarsrapp 2014 incl begrotingswijz, nr 21022-21479, 20141110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56"/>
      <w:r w:rsidRPr="00A448AC">
        <w:rPr>
          <w:rFonts w:ascii="Arial" w:hAnsi="Arial" w:cs="Arial"/>
          <w:b/>
          <w:bCs/>
          <w:color w:val="303F4C"/>
          <w:lang w:val="en-US"/>
        </w:rPr>
        <w:t>Raad 24 nov 2014 - Ingekomen stuk, Veiligheidsregio IJsselland, najaarsrapp 2014 incl begrotingswijz, nr 21022-21479, 20141110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01-12-2014 14:18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nov 2014 - Ingekomen stuk, Veiligheidsregio IJsselland, najaarsrapp 2014 incl begrotingswijz, nr 21022-21479, 20141110.pdf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939,74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4-nov-2014---Ingekomen-stuk--Veiligheidsregio-IJsselland--najaarsrapp-2014-incl-begrotingswijz--nr-21022-21479--201411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