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4" w:history="1">
        <w:r>
          <w:rPr>
            <w:rFonts w:ascii="Arial" w:hAnsi="Arial" w:eastAsia="Arial" w:cs="Arial"/>
            <w:color w:val="155CAA"/>
            <w:u w:val="single"/>
          </w:rPr>
          <w:t xml:space="preserve">1 Raad 23 jun 2014 - Ingekomen stuk, Zienswijze Ruitenberg, ontwerp BP Herziening Westerbouwlanden Noord, nr 17035-20177, 20140526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4"/>
      <w:r w:rsidRPr="00A448AC">
        <w:rPr>
          <w:rFonts w:ascii="Arial" w:hAnsi="Arial" w:cs="Arial"/>
          <w:b/>
          <w:bCs/>
          <w:color w:val="303F4C"/>
          <w:lang w:val="en-US"/>
        </w:rPr>
        <w:t>Raad 23 jun 2014 - Ingekomen stuk, Zienswijze Ruitenberg, ontwerp BP Herziening Westerbouwlanden Noord, nr 17035-20177, 20140526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 2014 - Ingekomen stuk, Zienswijze Ruitenberg, ontwerp BP Herziening Westerbouwlanden Noord, nr 17035-20177, 20140526.pdf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3-jun-2014---Ingekomen-stuk--Zienswijze-Ruitenberg--ontwerp-BP-Herziening-Westerbouwlanden-Noord--nr-17035-20177--201405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