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90" w:history="1">
        <w:r>
          <w:rPr>
            <w:rFonts w:ascii="Arial" w:hAnsi="Arial" w:eastAsia="Arial" w:cs="Arial"/>
            <w:color w:val="155CAA"/>
            <w:u w:val="single"/>
          </w:rPr>
          <w:t xml:space="preserve">1 Raad 16 febr 2015 - Ingekomen stuk, H. Wennemars, zienswijze Ontwerp BP Oosterdalfsen, nr 23010-24918, 20150202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90"/>
      <w:r w:rsidRPr="00A448AC">
        <w:rPr>
          <w:rFonts w:ascii="Arial" w:hAnsi="Arial" w:cs="Arial"/>
          <w:b/>
          <w:bCs/>
          <w:color w:val="303F4C"/>
          <w:lang w:val="en-US"/>
        </w:rPr>
        <w:t>Raad 16 febr 2015 - Ingekomen stuk, H. Wennemars, zienswijze Ontwerp BP Oosterdalfsen, nr 23010-24918, 20150202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19-02-2015 12:21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16 febr 2015 - Ingekomen stuk, H. Wennemars, zienswijze Ontwerp BP Oosterdalfsen, nr 23010-24918, 20150202.pdf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16-febr-2015-Ingekomen-stuk-H-Wennemars-zienswijze-Ontwerp-BP-Oosterdalfsen-nr-23010-24918-201502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