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9" w:history="1">
        <w:r>
          <w:rPr>
            <w:rFonts w:ascii="Arial" w:hAnsi="Arial" w:eastAsia="Arial" w:cs="Arial"/>
            <w:color w:val="155CAA"/>
            <w:u w:val="single"/>
          </w:rPr>
          <w:t xml:space="preserve">1 Lbr VNG, 21-086, VNG Model Marktverordening (nieuw); aanpassingen aan Europese Dienstenrichtlijn en Dienstenwet, zaaknr 650570, 20220125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9"/>
      <w:r w:rsidRPr="00A448AC">
        <w:rPr>
          <w:rFonts w:ascii="Arial" w:hAnsi="Arial" w:cs="Arial"/>
          <w:b/>
          <w:bCs/>
          <w:color w:val="303F4C"/>
          <w:lang w:val="en-US"/>
        </w:rPr>
        <w:t>Lbr VNG, 21-086, VNG Model Marktverordening (nieuw); aanpassingen aan Europese Dienstenrichtlijn en Dienstenwet, zaaknr 650570, 20220125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21-086, VNG Model Marktverordening (nieuw); aanpassingen aan Europese Dienstenrichtlijn en Dienstenwet, zaaknr 650570, 20220125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86-VNG-Model-Marktverordening-nieuw-aanpassingen-aan-Europese-Dienstenrichtlijn-en-Dienstenwet-zaaknr-650570-2022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