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78" text:style-name="Internet_20_link" text:visited-style-name="Visited_20_Internet_20_Link">
              <text:span text:style-name="ListLabel_20_28">
                <text:span text:style-name="T8">1 Lbr. VNG, 21-068, Wijziging VNG Model Erfgoedverordening 2016 ivm Omgevingswet, zaaknr 641770, 20210930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8"/>
        Lbr. VNG, 21-068, Wijziging VNG Model Erfgoedverordening 2016 ivm Omgevingswet, zaaknr 641770, 20210930
        <text:bookmark-end text:name="425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26-10-2021 10:37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Lbr. VNG, 21-068, Wijziging VNG Model Erfgoedverordening 2016 ivm Omgevingswet, zaaknr 641770, 20210930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1,66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8-Wijziging-VNG-Model-Erfgoedverordening-2016-ivm-Omgevingswet-zaaknr-641770-2021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94" meta:non-whitespace-character-count="5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