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3" w:history="1">
        <w:r>
          <w:rPr>
            <w:rFonts w:ascii="Arial" w:hAnsi="Arial" w:eastAsia="Arial" w:cs="Arial"/>
            <w:color w:val="155CAA"/>
            <w:u w:val="single"/>
          </w:rPr>
          <w:t xml:space="preserve">1 Lbr VNG 21-065, Modelverordening Riool- en Waterzorgheffing vervangt Modelverordening Rioolheffing, 20210902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3"/>
      <w:r w:rsidRPr="00A448AC">
        <w:rPr>
          <w:rFonts w:ascii="Arial" w:hAnsi="Arial" w:cs="Arial"/>
          <w:b/>
          <w:bCs/>
          <w:color w:val="303F4C"/>
          <w:lang w:val="en-US"/>
        </w:rPr>
        <w:t>Lbr VNG 21-065, Modelverordening Riool- en Waterzorgheffing vervangt Modelverordening Rioolheffing, 20210902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21-065, Modelverordening Riool- en Waterzorgheffing vervangt Modelverordening Rioolheffing, 20210902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5-Modelverordening-Riool-en-Waterzorgheffing-vervangt-Modelverordening-Rioolheffing-202109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