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15" w:history="1">
        <w:r>
          <w:rPr>
            <w:rFonts w:ascii="Arial" w:hAnsi="Arial" w:eastAsia="Arial" w:cs="Arial"/>
            <w:color w:val="155CAA"/>
            <w:u w:val="single"/>
          </w:rPr>
          <w:t xml:space="preserve">1 Lbr VNG - 21-054 - Wijziging Model-APV ivm Omgevingswet, zaaknr 636056, 20210705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15"/>
      <w:r w:rsidRPr="00A448AC">
        <w:rPr>
          <w:rFonts w:ascii="Arial" w:hAnsi="Arial" w:cs="Arial"/>
          <w:b/>
          <w:bCs/>
          <w:color w:val="303F4C"/>
          <w:lang w:val="en-US"/>
        </w:rPr>
        <w:t>Lbr VNG - 21-054 - Wijziging Model-APV ivm Omgevingswet, zaaknr 636056, 20210705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- 21-054 - Wijziging Model-APV ivm Omgevingswet, zaaknr 636056, 20210705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54-Wijziging-Model-APV-ivm-Omgevingswet-zaaknr-636056-202107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