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03-07-2025 21:18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264" w:history="1">
        <w:r>
          <w:rPr>
            <w:rFonts w:ascii="Arial" w:hAnsi="Arial" w:eastAsia="Arial" w:cs="Arial"/>
            <w:color w:val="155CAA"/>
            <w:u w:val="single"/>
          </w:rPr>
          <w:t xml:space="preserve">1 Lbr VNG 20-082, Inwerkingtreding Tijdelijke wet maatregelen covid-19, zaaknr 626769, 20201126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264"/>
      <w:r w:rsidRPr="00A448AC">
        <w:rPr>
          <w:rFonts w:ascii="Arial" w:hAnsi="Arial" w:cs="Arial"/>
          <w:b/>
          <w:bCs/>
          <w:color w:val="303F4C"/>
          <w:lang w:val="en-US"/>
        </w:rPr>
        <w:t>Lbr VNG 20-082, Inwerkingtreding Tijdelijke wet maatregelen covid-19, zaaknr 626769, 20201126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26-11-2020 12:10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advisering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 20-082, Inwerkingtreding Tijdelijke wet maatregelen covid-19, zaaknr 626769, 20201126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26-11-2020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122,16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Lbr-VNG-20-082-Inwerkingtreding-Tijdelijke-wet-maatregelen-covid-19-zaaknr-626769-20201126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