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46" w:history="1">
        <w:r>
          <w:rPr>
            <w:rFonts w:ascii="Arial" w:hAnsi="Arial" w:eastAsia="Arial" w:cs="Arial"/>
            <w:color w:val="155CAA"/>
            <w:u w:val="single"/>
          </w:rPr>
          <w:t xml:space="preserve">1 Lbr VNG, 18-040, Wijzigingen modelverordeningen belastingen, zaaknr 587554, 20180730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46"/>
      <w:r w:rsidRPr="00A448AC">
        <w:rPr>
          <w:rFonts w:ascii="Arial" w:hAnsi="Arial" w:cs="Arial"/>
          <w:b/>
          <w:bCs/>
          <w:color w:val="303F4C"/>
          <w:lang w:val="en-US"/>
        </w:rPr>
        <w:t>Lbr VNG, 18-040, Wijzigingen modelverordeningen belastingen, zaaknr 587554, 20180730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01-10-2018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18-040, Wijzigingen modelverordeningen belastingen, zaaknr 587554, 20180730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18-040-Wijzigingen-modelverordeningen-belastingen-zaaknr-587554-201807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