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38" w:history="1">
        <w:r>
          <w:rPr>
            <w:rFonts w:ascii="Arial" w:hAnsi="Arial" w:eastAsia="Arial" w:cs="Arial"/>
            <w:color w:val="155CAA"/>
            <w:u w:val="single"/>
          </w:rPr>
          <w:t xml:space="preserve">1 Lbr VNG, 18-034, Wijziging VNG model verordening naamgeving en nummering adressen, zaaknr 587199, 20180716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38"/>
      <w:r w:rsidRPr="00A448AC">
        <w:rPr>
          <w:rFonts w:ascii="Arial" w:hAnsi="Arial" w:cs="Arial"/>
          <w:b/>
          <w:bCs/>
          <w:color w:val="303F4C"/>
          <w:lang w:val="en-US"/>
        </w:rPr>
        <w:t>Lbr VNG, 18-034, Wijziging VNG model verordening naamgeving en nummering adressen, zaaknr 587199, 20180716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01-10-2018 11:59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18-034, Wijziging VNG model verordening naamgeving en nummering adressen, zaaknr 587199, 20180716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Lbr-VNG-18-034-Wijziging-VNG-model-verordening-naamgeving-en-nummering-adressen-zaaknr-587199-201807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