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02-06-2025 08:24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738" text:style-name="Internet_20_link" text:visited-style-name="Visited_20_Internet_20_Link">
              <text:span text:style-name="ListLabel_20_28">
                <text:span text:style-name="T8">1 Lbr VNG, 18-034, Wijziging VNG model verordening naamgeving en nummering adressen, zaaknr 587199, 20180716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738"/>
        Lbr VNG, 18-034, Wijziging VNG model verordening naamgeving en nummering adressen, zaaknr 587199, 20180716
        <text:bookmark-end text:name="4173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01-10-2018 11:59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18-034, Wijziging VNG model verordening naamgeving en nummering adressen, zaaknr 587199, 20180716
              <text:span text:style-name="T3"/>
            </text:p>
            <text:p text:style-name="P7"/>
          </table:table-cell>
          <table:table-cell table:style-name="Table4.A2" office:value-type="string">
            <text:p text:style-name="P8">16-07-2018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580,99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Lbr-VNG-18-034-Wijziging-VNG-model-verordening-naamgeving-en-nummering-adressen-zaaknr-587199-201807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8" meta:character-count="605" meta:non-whitespace-character-count="54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1183334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1183334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