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93" w:history="1">
        <w:r>
          <w:rPr>
            <w:rFonts w:ascii="Arial" w:hAnsi="Arial" w:eastAsia="Arial" w:cs="Arial"/>
            <w:color w:val="155CAA"/>
            <w:u w:val="single"/>
          </w:rPr>
          <w:t xml:space="preserve">1 Lbr VNG, 18-014, Wijziging Bouwverordening per 1 juli 2018, 17 april 2018, zaaknr. 581973, 20180419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93"/>
      <w:r w:rsidRPr="00A448AC">
        <w:rPr>
          <w:rFonts w:ascii="Arial" w:hAnsi="Arial" w:cs="Arial"/>
          <w:b/>
          <w:bCs/>
          <w:color w:val="303F4C"/>
          <w:lang w:val="en-US"/>
        </w:rPr>
        <w:t>Lbr VNG, 18-014, Wijziging Bouwverordening per 1 juli 2018, 17 april 2018, zaaknr. 581973, 20180419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05-06-2018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18-014, Wijziging Bouwverordening per 1 juli 2018, 17 april 2018, zaaknr. 581973, 20180419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18-014-Wijziging-Bouwverordening-per-1-juli-2018-17-april-2018-zaaknr-581973-20180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