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10:10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61" w:history="1">
        <w:r>
          <w:rPr>
            <w:rFonts w:ascii="Arial" w:hAnsi="Arial" w:eastAsia="Arial" w:cs="Arial"/>
            <w:color w:val="155CAA"/>
            <w:u w:val="single"/>
          </w:rPr>
          <w:t xml:space="preserve">1 Brf inwoners, Zienswijze ontwerp bestemmingplan Koele II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61"/>
      <w:r w:rsidRPr="00A448AC">
        <w:rPr>
          <w:rFonts w:ascii="Arial" w:hAnsi="Arial" w:cs="Arial"/>
          <w:b/>
          <w:bCs/>
          <w:color w:val="303F4C"/>
          <w:lang w:val="en-US"/>
        </w:rPr>
        <w:t>Brf inwoners, Zienswijze ontwerp bestemmingplan Koele II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02-11-2023 12:48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inwoners, Zienswijze ontwerp bestemmingplan De Koele II, 20231031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31-10-2023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951,49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inwoners-Zienswijze-ontwerp-bestemmingplan-De-Koele-II-20231031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