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20:05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78" w:history="1">
        <w:r>
          <w:rPr>
            <w:rFonts w:ascii="Arial" w:hAnsi="Arial" w:eastAsia="Arial" w:cs="Arial"/>
            <w:color w:val="155CAA"/>
            <w:u w:val="single"/>
          </w:rPr>
          <w:t xml:space="preserve">1 Brf Zuidema Omgevingsrecht, Zienswijze Hoek Pastoriestraat - Pleijendal Dalfsen, zaaknr 643909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78"/>
      <w:r w:rsidRPr="00A448AC">
        <w:rPr>
          <w:rFonts w:ascii="Arial" w:hAnsi="Arial" w:cs="Arial"/>
          <w:b/>
          <w:bCs/>
          <w:color w:val="303F4C"/>
          <w:lang w:val="en-US"/>
        </w:rPr>
        <w:t>Brf Zuidema Omgevingsrecht, Zienswijze Hoek Pastoriestraat - Pleijendal Dalfsen, zaaknr 643909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27-01-2022 15:47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Zuidema Omgevingsrecht, Zienswijze Hoek Pastoriestraat  Pleijendal Dalfsen, zaaknr 643909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271,22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Zuidema-Omgevingsrecht-Zienswijze-Hoek-Pastoriestraat-Pleijendal-Dalfsen-zaaknr-64390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