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8" w:history="1">
        <w:r>
          <w:rPr>
            <w:rFonts w:ascii="Arial" w:hAnsi="Arial" w:eastAsia="Arial" w:cs="Arial"/>
            <w:color w:val="155CAA"/>
            <w:u w:val="single"/>
          </w:rPr>
          <w:t xml:space="preserve">1 Brf Vrienden van Dalfsen, Zienswijze weigering OVVGB off the grid recreatiehuisje, zaaknr 622216, 20200608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8"/>
      <w:r w:rsidRPr="00A448AC">
        <w:rPr>
          <w:rFonts w:ascii="Arial" w:hAnsi="Arial" w:cs="Arial"/>
          <w:b/>
          <w:bCs/>
          <w:color w:val="303F4C"/>
          <w:lang w:val="en-US"/>
        </w:rPr>
        <w:t>Brf Vrienden van Dalfsen, Zienswijze weigering OVVGB off the grid recreatiehuisje, zaaknr 622216, 20200608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Vrienden van Dalfsen, Zienswijze weigering OVVGB off the grid recreatiehuisje, zaaknr 622216, 20200608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749,89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Vrienden-van-Dalfsen-Zienswijze-weigering-OVVGB-off-the-grid-recreatiehuisje-zaaknr-622216-202006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