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8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Wijziging gemeenschappelijke regeling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Wijziging gemeenschappelijke regeling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Wijziging gemeenschappelijke regeling,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Wijziging-gemeenschappelijke-regeling-2023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