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3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Goed werkgeverschap na dienstongevallen, zaaknr 648091, 20220103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3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Goed werkgeverschap na dienstongevallen, zaaknr 648091,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Goed werkgeverschap na dienstongevallen, zaaknr 648091,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Goed-werkgeverschap-na-dienstongevallen-zaaknr-648091-20220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