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1" w:history="1">
        <w:r>
          <w:rPr>
            <w:rFonts w:ascii="Arial" w:hAnsi="Arial" w:eastAsia="Arial" w:cs="Arial"/>
            <w:color w:val="155CAA"/>
            <w:u w:val="single"/>
          </w:rPr>
          <w:t xml:space="preserve">1 Brf Van Dedem Den Berg Stichting, Zienswijze weigering OVVGB off the grid recreatiehuisje, zaaknr 622372, 20200811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1"/>
      <w:r w:rsidRPr="00A448AC">
        <w:rPr>
          <w:rFonts w:ascii="Arial" w:hAnsi="Arial" w:cs="Arial"/>
          <w:b/>
          <w:bCs/>
          <w:color w:val="303F4C"/>
          <w:lang w:val="en-US"/>
        </w:rPr>
        <w:t>Brf Van Dedem Den Berg Stichting, Zienswijze weigering OVVGB off the grid recreatiehuisje, zaaknr 622372, 20200811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Dedem Den Berg Stichting, Zienswijze weigering OVVGB off the grid recreatiehuisje, zaaknr 622372, 20200811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Van-Dedem-Den-Berg-Stichting-Zienswijze-weigering-OVVGB-off-the-grid-recreatiehuisje-zaaknr-622372-202008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