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88" w:history="1">
        <w:r>
          <w:rPr>
            <w:rFonts w:ascii="Arial" w:hAnsi="Arial" w:eastAsia="Arial" w:cs="Arial"/>
            <w:color w:val="155CAA"/>
            <w:u w:val="single"/>
          </w:rPr>
          <w:t xml:space="preserve">1 Brf VR IJsselland, Risicoprofiel en Strategische Beleidsagenda 2019-2023, zaaknr 591613, 20181018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88"/>
      <w:r w:rsidRPr="00A448AC">
        <w:rPr>
          <w:rFonts w:ascii="Arial" w:hAnsi="Arial" w:cs="Arial"/>
          <w:b/>
          <w:bCs/>
          <w:color w:val="303F4C"/>
          <w:lang w:val="en-US"/>
        </w:rPr>
        <w:t>Brf VR IJsselland, Risicoprofiel en Strategische Beleidsagenda 2019-2023, zaaknr 591613, 20181018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30-10-2018 11:13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Risicoprofiel en Strategische Beleidsagenda 2019-2023, zaaknr 591613, 20181018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VR-IJsselland-Risicoprofiel-en-Strategische-Beleidsagenda-2019-2023-zaaknr-591613-201810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