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56" w:history="1">
        <w:r>
          <w:rPr>
            <w:rFonts w:ascii="Arial" w:hAnsi="Arial" w:eastAsia="Arial" w:cs="Arial"/>
            <w:color w:val="155CAA"/>
            <w:u w:val="single"/>
          </w:rPr>
          <w:t xml:space="preserve">1 Brf VBTM Advocaten, Zienswijze vestiging voorkeursrecht, zaaknr 626446, 20201112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56"/>
      <w:r w:rsidRPr="00A448AC">
        <w:rPr>
          <w:rFonts w:ascii="Arial" w:hAnsi="Arial" w:cs="Arial"/>
          <w:b/>
          <w:bCs/>
          <w:color w:val="303F4C"/>
          <w:lang w:val="en-US"/>
        </w:rPr>
        <w:t>Brf VBTM Advocaten, Zienswijze vestiging voorkeursrecht, zaaknr 626446,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26-11-2020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VBTM Advocaten, Zienswijze vestiging voorkeursrecht, zaaknr 626446,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VBTM-Advocaten-Zienswijze-vestiging-voorkeursrecht-zaaknr-626446-202011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