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78" w:history="1">
        <w:r>
          <w:rPr>
            <w:rFonts w:ascii="Arial" w:hAnsi="Arial" w:eastAsia="Arial" w:cs="Arial"/>
            <w:color w:val="155CAA"/>
            <w:u w:val="single"/>
          </w:rPr>
          <w:t xml:space="preserve">1 Brf RSJ IJsselland, Kadernota en begroting 2023, jaarverslag 2021 incl jaarrekening, zaaknr 657598, 20220414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78"/>
      <w:r w:rsidRPr="00A448AC">
        <w:rPr>
          <w:rFonts w:ascii="Arial" w:hAnsi="Arial" w:cs="Arial"/>
          <w:b/>
          <w:bCs/>
          <w:color w:val="303F4C"/>
          <w:lang w:val="en-US"/>
        </w:rPr>
        <w:t>Brf RSJ IJsselland, Kadernota en begroting 2023, jaarverslag 2021 incl jaarrekening, zaaknr 657598, 20220414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Kadernota en begroting 2023, jaarverslag 2021 incl jaarrekening, zaaknr 657598, 20220414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RSJ-IJsselland-Kadernota-en-begroting-2023-jaarverslag-2021-incl-jaarrekening-zaaknr-657598-202204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