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57" w:history="1">
        <w:r>
          <w:rPr>
            <w:rFonts w:ascii="Arial" w:hAnsi="Arial" w:eastAsia="Arial" w:cs="Arial"/>
            <w:color w:val="155CAA"/>
            <w:u w:val="single"/>
          </w:rPr>
          <w:t xml:space="preserve">1 Brf, Ondernemersvereniging Nieuwleusen, Verzoek zondagsopenstelling detailhandel, zaaknr 588501, 20180807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57"/>
      <w:r w:rsidRPr="00A448AC">
        <w:rPr>
          <w:rFonts w:ascii="Arial" w:hAnsi="Arial" w:cs="Arial"/>
          <w:b/>
          <w:bCs/>
          <w:color w:val="303F4C"/>
          <w:lang w:val="en-US"/>
        </w:rPr>
        <w:t>Brf, Ondernemersvereniging Nieuwleusen, Verzoek zondagsopenstelling detailhandel, zaaknr 588501, 20180807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Ondernemersvereniging Nieuwleusen, Verzoek zondagsopenstelling detailhandel, zaaknr 588501, 20180807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Ondernemersvereniging-Nieuwleusen-Verzoek-zondagsopenstelling-detailhandel-zaaknr-588501-201808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