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09:18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61" text:style-name="Internet_20_link" text:visited-style-name="Visited_20_Internet_20_Link">
              <text:span text:style-name="ListLabel_20_28">
                <text:span text:style-name="T8">1 Brf Omgevingsrecht Zuidema, Zienswijze ontwerp 6e herz BP Kernen gem Dalfsen, Koesteeg, zaaknr 598745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61"/>
        Brf Omgevingsrecht Zuidema, Zienswijze ontwerp 6e herz BP Kernen gem Dalfsen, Koesteeg, zaaknr 598745
        <text:bookmark-end text:name="418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16-04-2019 12:16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Omgevingsrecht Zuidema, Zienswijze ontwerp 6e herz BP Kernen gem Dalfsen, Koesteeg, zaaknr 598745
              <text:span text:style-name="T3"/>
            </text:p>
            <text:p text:style-name="P7"/>
          </table:table-cell>
          <table:table-cell table:style-name="Table4.A2" office:value-type="string">
            <text:p text:style-name="P8">28-03-2019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874,07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Omgevingsrecht-Zuidema-Zienswijze-ontwerp-6e-herz-BP-Kernen-gem-Dalfsen-Koesteeg-zaaknr-59874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590" meta:non-whitespace-character-count="5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1893385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1893385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