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6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Tweede wijziging GR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6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Tweede wijziging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Tweede wijziging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Tweede-wijziging-GR-2023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