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6" w:history="1">
        <w:r>
          <w:rPr>
            <w:rFonts w:ascii="Arial" w:hAnsi="Arial" w:eastAsia="Arial" w:cs="Arial"/>
            <w:color w:val="155CAA"/>
            <w:u w:val="single"/>
          </w:rPr>
          <w:t xml:space="preserve">1 Brf Omgevingsdienst IJsselland, Begrotingswijziging 2021 en 2022 Omgevingsdienst IJsselland, zaaknr 654115, 20220302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6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Begrotingswijziging 2021 en 2022 Omgevingsdienst IJsselland, zaaknr 654115,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Begrotingswijziging 2021 en 2022 Omgevingsdienst IJsselland, zaaknr 654115,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Begrotingswijziging-2021-en-2022-Omgevingsdienst-IJsselland-zaaknr-654115-2022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