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15" w:history="1">
        <w:r>
          <w:rPr>
            <w:rFonts w:ascii="Arial" w:hAnsi="Arial" w:eastAsia="Arial" w:cs="Arial"/>
            <w:color w:val="155CAA"/>
            <w:u w:val="single"/>
          </w:rPr>
          <w:t xml:space="preserve">1 Brf GGD- en RSJ IJsselland, Onderbrengen RSJ IJsselland bij GGD IJsselland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15"/>
      <w:r w:rsidRPr="00A448AC">
        <w:rPr>
          <w:rFonts w:ascii="Arial" w:hAnsi="Arial" w:cs="Arial"/>
          <w:b/>
          <w:bCs/>
          <w:color w:val="303F4C"/>
          <w:lang w:val="en-US"/>
        </w:rPr>
        <w:t>Brf GGD- en RSJ IJsselland, Onderbrengen RSJ IJsselland bij GGD IJsselland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19:18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GGD- en RSJ IJsselland, Onderbrengen RSJ IJsselland bij GGD IJsselland,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3,02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GGD-en-RSJ-IJsselland-Onderbrengen-RSJ-IJsselland-bij-GGD-IJsselland-202505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