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55" w:history="1">
        <w:r>
          <w:rPr>
            <w:rFonts w:ascii="Arial" w:hAnsi="Arial" w:eastAsia="Arial" w:cs="Arial"/>
            <w:color w:val="155CAA"/>
            <w:u w:val="single"/>
          </w:rPr>
          <w:t xml:space="preserve">1 Brf GGD IJsselland, Zesde wijziging GR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55"/>
      <w:r w:rsidRPr="00A448AC">
        <w:rPr>
          <w:rFonts w:ascii="Arial" w:hAnsi="Arial" w:cs="Arial"/>
          <w:b/>
          <w:bCs/>
          <w:color w:val="303F4C"/>
          <w:lang w:val="en-US"/>
        </w:rPr>
        <w:t>Brf GGD IJsselland, Zesde wijziging GR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24-10-2023 11:32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Zesde wijziging GR, 20231024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934,58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GGD-IJsselland-Zesde-wijziging-GR-20231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