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5" w:history="1">
        <w:r>
          <w:rPr>
            <w:rFonts w:ascii="Arial" w:hAnsi="Arial" w:eastAsia="Arial" w:cs="Arial"/>
            <w:color w:val="155CAA"/>
            <w:u w:val="single"/>
          </w:rPr>
          <w:t xml:space="preserve">1 Brf, GGD IJsselland, Begrotingswijziging 2023/1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5"/>
      <w:r w:rsidRPr="00A448AC">
        <w:rPr>
          <w:rFonts w:ascii="Arial" w:hAnsi="Arial" w:cs="Arial"/>
          <w:b/>
          <w:bCs/>
          <w:color w:val="303F4C"/>
          <w:lang w:val="en-US"/>
        </w:rPr>
        <w:t>Brf, GGD IJsselland, Begrotingswijziging 2023/1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GGD IJsselland, Begrotingswijziging 2023-1,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912,65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GD-IJsselland-Begrotingswijziging-2023-1-202305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